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358"/>
        <w:gridCol w:w="5713"/>
      </w:tblGrid>
      <w:tr w:rsidR="00C15127" w:rsidRPr="00C15127" w:rsidTr="003664FA">
        <w:tc>
          <w:tcPr>
            <w:tcW w:w="1851" w:type="pct"/>
          </w:tcPr>
          <w:p w:rsidR="00C15127" w:rsidRPr="00C15127" w:rsidRDefault="00C15127" w:rsidP="003664FA">
            <w:pPr>
              <w:spacing w:before="120"/>
              <w:jc w:val="center"/>
              <w:rPr>
                <w:rFonts w:ascii="Times New Roman" w:hAnsi="Times New Roman"/>
                <w:b/>
                <w:szCs w:val="28"/>
              </w:rPr>
            </w:pPr>
            <w:r w:rsidRPr="00C15127">
              <w:rPr>
                <w:rFonts w:ascii="Times New Roman" w:hAnsi="Times New Roman"/>
                <w:b/>
                <w:szCs w:val="28"/>
              </w:rPr>
              <w:t>BỘ Y TẾ</w:t>
            </w:r>
            <w:r w:rsidRPr="00C15127">
              <w:rPr>
                <w:rFonts w:ascii="Times New Roman" w:hAnsi="Times New Roman"/>
                <w:b/>
                <w:szCs w:val="28"/>
              </w:rPr>
              <w:br/>
              <w:t>-------</w:t>
            </w:r>
          </w:p>
        </w:tc>
        <w:tc>
          <w:tcPr>
            <w:tcW w:w="3149" w:type="pct"/>
          </w:tcPr>
          <w:p w:rsidR="00C15127" w:rsidRPr="00C15127" w:rsidRDefault="00C15127" w:rsidP="003664FA">
            <w:pPr>
              <w:spacing w:before="120"/>
              <w:jc w:val="center"/>
              <w:rPr>
                <w:rFonts w:ascii="Times New Roman" w:hAnsi="Times New Roman"/>
                <w:szCs w:val="28"/>
              </w:rPr>
            </w:pPr>
            <w:r w:rsidRPr="00C15127">
              <w:rPr>
                <w:rFonts w:ascii="Times New Roman" w:hAnsi="Times New Roman"/>
                <w:b/>
                <w:szCs w:val="28"/>
              </w:rPr>
              <w:t>CỘNG HÒA XÃ HỘI CHỦ NGHĨA VIỆT NAM</w:t>
            </w:r>
            <w:r w:rsidRPr="00C15127">
              <w:rPr>
                <w:rFonts w:ascii="Times New Roman" w:hAnsi="Times New Roman"/>
                <w:b/>
                <w:szCs w:val="28"/>
              </w:rPr>
              <w:br/>
              <w:t xml:space="preserve">Độc lập - Tự do - Hạnh phúc </w:t>
            </w:r>
            <w:r w:rsidRPr="00C15127">
              <w:rPr>
                <w:rFonts w:ascii="Times New Roman" w:hAnsi="Times New Roman"/>
                <w:b/>
                <w:szCs w:val="28"/>
              </w:rPr>
              <w:br/>
              <w:t>---------------</w:t>
            </w:r>
          </w:p>
        </w:tc>
      </w:tr>
      <w:tr w:rsidR="00C15127" w:rsidRPr="00C15127" w:rsidTr="003664FA">
        <w:tc>
          <w:tcPr>
            <w:tcW w:w="1851" w:type="pct"/>
          </w:tcPr>
          <w:p w:rsidR="00C15127" w:rsidRPr="00C15127" w:rsidRDefault="00C15127" w:rsidP="003664FA">
            <w:pPr>
              <w:spacing w:before="120"/>
              <w:jc w:val="center"/>
              <w:rPr>
                <w:rFonts w:ascii="Times New Roman" w:hAnsi="Times New Roman"/>
                <w:szCs w:val="28"/>
              </w:rPr>
            </w:pPr>
            <w:r w:rsidRPr="00C15127">
              <w:rPr>
                <w:rFonts w:ascii="Times New Roman" w:hAnsi="Times New Roman"/>
                <w:szCs w:val="28"/>
              </w:rPr>
              <w:t>Số: 13/2019/TT-BYT</w:t>
            </w:r>
          </w:p>
        </w:tc>
        <w:tc>
          <w:tcPr>
            <w:tcW w:w="3149" w:type="pct"/>
          </w:tcPr>
          <w:p w:rsidR="00C15127" w:rsidRPr="00C15127" w:rsidRDefault="00C15127" w:rsidP="003664FA">
            <w:pPr>
              <w:spacing w:before="120"/>
              <w:jc w:val="right"/>
              <w:rPr>
                <w:rFonts w:ascii="Times New Roman" w:hAnsi="Times New Roman"/>
                <w:i/>
                <w:szCs w:val="28"/>
              </w:rPr>
            </w:pPr>
            <w:r w:rsidRPr="00C15127">
              <w:rPr>
                <w:rFonts w:ascii="Times New Roman" w:hAnsi="Times New Roman"/>
                <w:i/>
                <w:szCs w:val="28"/>
              </w:rPr>
              <w:t>Hà Nội, ngày 05 tháng 7 năm 2019</w:t>
            </w:r>
          </w:p>
        </w:tc>
      </w:tr>
    </w:tbl>
    <w:p w:rsidR="00C15127" w:rsidRPr="00C15127" w:rsidRDefault="00C15127" w:rsidP="00C15127">
      <w:pPr>
        <w:spacing w:before="120"/>
        <w:rPr>
          <w:rFonts w:ascii="Times New Roman" w:hAnsi="Times New Roman"/>
          <w:b/>
          <w:bCs/>
          <w:szCs w:val="28"/>
          <w:lang w:val="fr-FR"/>
        </w:rPr>
      </w:pPr>
    </w:p>
    <w:p w:rsidR="00C15127" w:rsidRPr="00C15127" w:rsidRDefault="00C15127" w:rsidP="00C15127">
      <w:pPr>
        <w:spacing w:before="120"/>
        <w:jc w:val="center"/>
        <w:rPr>
          <w:rFonts w:ascii="Times New Roman" w:hAnsi="Times New Roman"/>
          <w:b/>
          <w:bCs/>
          <w:szCs w:val="28"/>
          <w:lang w:val="fr-FR"/>
        </w:rPr>
      </w:pPr>
      <w:r w:rsidRPr="00C15127">
        <w:rPr>
          <w:rFonts w:ascii="Times New Roman" w:hAnsi="Times New Roman"/>
          <w:b/>
          <w:bCs/>
          <w:szCs w:val="28"/>
          <w:lang w:val="fr-FR"/>
        </w:rPr>
        <w:t>THÔNG TƯ</w:t>
      </w:r>
    </w:p>
    <w:p w:rsidR="00C15127" w:rsidRPr="00C15127" w:rsidRDefault="00C15127" w:rsidP="00C15127">
      <w:pPr>
        <w:spacing w:before="120"/>
        <w:jc w:val="center"/>
        <w:rPr>
          <w:rFonts w:ascii="Times New Roman" w:hAnsi="Times New Roman"/>
          <w:b/>
          <w:bCs/>
          <w:iCs/>
          <w:szCs w:val="28"/>
          <w:lang w:val="es-ES"/>
        </w:rPr>
      </w:pPr>
      <w:r w:rsidRPr="00C15127">
        <w:rPr>
          <w:rFonts w:ascii="Times New Roman" w:hAnsi="Times New Roman"/>
          <w:bCs/>
          <w:iCs/>
          <w:szCs w:val="28"/>
          <w:lang w:val="fr-FR"/>
        </w:rPr>
        <w:t>SỬA ĐỔI, BỔ SUNG MỘT SỐ ĐIỀU CỦA THÔNG TƯ SỐ 39/2018/TT-BYT NGÀY 30 THÁNG 11 NĂM 2018 CỦA BỘ TRƯỞNG BỘ Y TẾ QUY ĐỊNH THỐNG NHẤT GIÁ DỊCH VỤ KHÁM BỆNH, CHỮA BỆNH BẢO HIỂM Y TẾ GIỮA CÁC BỆNH VIỆN CÙNG HẠNG TRÊN TOÀN QUỐC VÀ HƯỚNG DẪN ÁP DỤNG GIÁ, THANH TOÁN CHI PHÍ KHÁM BỆNH, CHỮA BỆNH TRONG MỘT SỐ TRƯỜNG HỢP</w:t>
      </w:r>
    </w:p>
    <w:p w:rsidR="00C15127" w:rsidRPr="00C15127" w:rsidRDefault="00C15127" w:rsidP="00C15127">
      <w:pPr>
        <w:pStyle w:val="NormalWeb"/>
        <w:spacing w:before="120" w:beforeAutospacing="0" w:after="0" w:afterAutospacing="0"/>
        <w:rPr>
          <w:i/>
          <w:sz w:val="28"/>
          <w:szCs w:val="28"/>
        </w:rPr>
      </w:pPr>
      <w:r w:rsidRPr="00C15127">
        <w:rPr>
          <w:i/>
          <w:sz w:val="28"/>
          <w:szCs w:val="28"/>
        </w:rPr>
        <w:t>Căn cứ Luật khám bệnh, chữa bệnh số 40/2009/QH12 ngày 23 tháng 11 năm 2009;</w:t>
      </w:r>
    </w:p>
    <w:p w:rsidR="00C15127" w:rsidRPr="00C15127" w:rsidRDefault="00C15127" w:rsidP="00C15127">
      <w:pPr>
        <w:spacing w:before="120"/>
        <w:rPr>
          <w:rFonts w:ascii="Times New Roman" w:hAnsi="Times New Roman"/>
          <w:i/>
          <w:szCs w:val="28"/>
        </w:rPr>
      </w:pPr>
      <w:r w:rsidRPr="00C15127">
        <w:rPr>
          <w:rFonts w:ascii="Times New Roman" w:hAnsi="Times New Roman"/>
          <w:i/>
          <w:szCs w:val="28"/>
        </w:rPr>
        <w:t>Căn cứ Luật giá số 11/2012/QH13 ngày 20 tháng 6 năm 2012;</w:t>
      </w:r>
    </w:p>
    <w:p w:rsidR="00C15127" w:rsidRPr="00C15127" w:rsidRDefault="00C15127" w:rsidP="00C15127">
      <w:pPr>
        <w:pStyle w:val="NormalWeb"/>
        <w:spacing w:before="120" w:beforeAutospacing="0" w:after="0" w:afterAutospacing="0"/>
        <w:rPr>
          <w:i/>
          <w:sz w:val="28"/>
          <w:szCs w:val="28"/>
        </w:rPr>
      </w:pPr>
      <w:r w:rsidRPr="00C15127">
        <w:rPr>
          <w:i/>
          <w:sz w:val="28"/>
          <w:szCs w:val="28"/>
        </w:rPr>
        <w:t>Căn cứ Luật bảo hiểm y tế số 25/2008/QH12 ngày 14 tháng 11 năm 2008 được sửa đổi, bổ sung theo Luật số 46/2014/QH13 ngày 13 tháng 6 năm 2014;</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rPr>
        <w:t>Căn cứ Nghị định số 85/2012/NĐ-CP ngày 15 tháng 10 năm 2012 của Chính phủ về cơ chế hoạt động, cơ chế tài chính đối với các đơn vị sự nghiệp y tế công lập và giá dịch vụ khám bệnh, chữa bệnh của các cơ sở khám bệnh, chữa</w:t>
      </w:r>
      <w:r w:rsidRPr="00C15127">
        <w:rPr>
          <w:rFonts w:ascii="Times New Roman" w:hAnsi="Times New Roman"/>
          <w:i/>
          <w:szCs w:val="28"/>
          <w:lang w:val="es-ES"/>
        </w:rPr>
        <w:t xml:space="preserve"> bệnh công lập;</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lang w:val="es-ES"/>
        </w:rPr>
        <w:t>Căn cứ Nghị định số 16/2015/NĐ-CP ngày 14 tháng 02 năm 2015 của Chính phủ quy định cơ chế tự chủ của đơn vị sự nghiệp công lập;</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lang w:val="es-ES"/>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lang w:val="es-ES"/>
        </w:rPr>
        <w:t>Căn cứ Nghị định số 75/2017/NĐ-CP ngày 20 tháng 6 năm 2017 của Chính phủ quy định chức năng, nhiệm vụ, quyền hạn và cơ cấu tổ chức của Bộ Y tế;</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lang w:val="es-ES"/>
        </w:rPr>
        <w:t>Căn cứ Nghị quyết 70/2018/QH14 của Quốc hội về dự toán ngân sách nhà nước năm 2019;</w:t>
      </w:r>
    </w:p>
    <w:p w:rsidR="00C15127" w:rsidRPr="00C15127" w:rsidRDefault="00C15127" w:rsidP="00C15127">
      <w:pPr>
        <w:spacing w:before="120"/>
        <w:rPr>
          <w:rFonts w:ascii="Times New Roman" w:hAnsi="Times New Roman"/>
          <w:i/>
          <w:szCs w:val="28"/>
          <w:lang w:val="es-ES"/>
        </w:rPr>
      </w:pPr>
      <w:r w:rsidRPr="00C15127">
        <w:rPr>
          <w:rFonts w:ascii="Times New Roman" w:hAnsi="Times New Roman"/>
          <w:i/>
          <w:szCs w:val="28"/>
          <w:lang w:val="es-ES"/>
        </w:rPr>
        <w:lastRenderedPageBreak/>
        <w:t>Căn cứ Nghị định số 38/2019/NĐ-CP ngày 09 tháng 5 năm 2019 của Chính phủ quy định mức lương cơ sở đối với cán bộ, công chức, viên chức và lực lượng vũ trang;</w:t>
      </w:r>
    </w:p>
    <w:p w:rsidR="00C15127" w:rsidRPr="00C15127" w:rsidRDefault="00C15127" w:rsidP="00C15127">
      <w:pPr>
        <w:tabs>
          <w:tab w:val="left" w:pos="284"/>
          <w:tab w:val="left" w:pos="1276"/>
        </w:tabs>
        <w:spacing w:before="120"/>
        <w:rPr>
          <w:rFonts w:ascii="Times New Roman" w:hAnsi="Times New Roman"/>
          <w:i/>
          <w:szCs w:val="28"/>
          <w:lang w:val="es-ES"/>
        </w:rPr>
      </w:pPr>
      <w:r w:rsidRPr="00C15127">
        <w:rPr>
          <w:rFonts w:ascii="Times New Roman" w:hAnsi="Times New Roman"/>
          <w:bCs/>
          <w:i/>
          <w:szCs w:val="28"/>
        </w:rPr>
        <w:t>Căn cứ Thông báo số 226/TB-VPCP ngày 04 tháng 7 năm 2019 của Văn phòng Chính phủ về kết luận của Phó Thủ tướng Vương Đình Huệ - Trưởng Ban Chỉ đạo điều hành giá tại cuộc họp Ban Chỉ đạo điều hành giá ngày 03 tháng 7 năm 2019</w:t>
      </w:r>
      <w:r w:rsidRPr="00C15127">
        <w:rPr>
          <w:rFonts w:ascii="Times New Roman" w:hAnsi="Times New Roman"/>
          <w:bCs/>
          <w:i/>
          <w:szCs w:val="28"/>
          <w:lang w:val="vi-VN"/>
        </w:rPr>
        <w:t>;</w:t>
      </w:r>
      <w:r w:rsidRPr="00C15127">
        <w:rPr>
          <w:rFonts w:ascii="Times New Roman" w:hAnsi="Times New Roman"/>
          <w:bCs/>
          <w:i/>
          <w:szCs w:val="28"/>
          <w:lang w:val="es-ES"/>
        </w:rPr>
        <w:t xml:space="preserve"> </w:t>
      </w:r>
    </w:p>
    <w:p w:rsidR="00C15127" w:rsidRPr="00C15127" w:rsidRDefault="00C15127" w:rsidP="00C15127">
      <w:pPr>
        <w:spacing w:before="120"/>
        <w:rPr>
          <w:rFonts w:ascii="Times New Roman" w:hAnsi="Times New Roman"/>
          <w:szCs w:val="28"/>
          <w:lang w:val="es-ES"/>
        </w:rPr>
      </w:pPr>
      <w:r w:rsidRPr="00C15127">
        <w:rPr>
          <w:rFonts w:ascii="Times New Roman" w:hAnsi="Times New Roman"/>
          <w:i/>
          <w:szCs w:val="28"/>
          <w:lang w:val="es-ES"/>
        </w:rPr>
        <w:t>Bộ trưởng Bộ Y tế ban hành Thông tư</w:t>
      </w:r>
      <w:r w:rsidRPr="00C15127">
        <w:rPr>
          <w:rFonts w:ascii="Times New Roman" w:hAnsi="Times New Roman"/>
          <w:i/>
          <w:szCs w:val="28"/>
          <w:lang w:val="vi-VN"/>
        </w:rPr>
        <w:t xml:space="preserve"> sửa đổi, bổ sung một số điều của Thông tư số 39/2018/TT-BYT ngày 30 tháng 11 năm 2018</w:t>
      </w:r>
      <w:r w:rsidRPr="00C15127">
        <w:rPr>
          <w:rFonts w:ascii="Times New Roman" w:hAnsi="Times New Roman"/>
          <w:i/>
          <w:szCs w:val="28"/>
          <w:lang w:val="es-ES"/>
        </w:rPr>
        <w:t xml:space="preserve"> của Bộ trưởng Bộ Y tế quy định thống nhất giá dịch vụ khám bệnh, chữa bệnh bảo hiểm y tế giữa các bệnh viện cùng hạng trong toàn quốc </w:t>
      </w:r>
      <w:r w:rsidRPr="00C15127">
        <w:rPr>
          <w:rFonts w:ascii="Times New Roman" w:hAnsi="Times New Roman"/>
          <w:bCs/>
          <w:i/>
          <w:iCs/>
          <w:szCs w:val="28"/>
          <w:lang w:val="es-ES"/>
        </w:rPr>
        <w:t>và hướng dẫn áp dụng giá, thanh toán chi phí khám bệnh, chữa bệnh bảo hiểm y tế trong một số trường hợp (sau đây gọi tắt là Thông tư số 39/2018/TT-BYT)</w:t>
      </w:r>
      <w:r w:rsidRPr="00C15127">
        <w:rPr>
          <w:rFonts w:ascii="Times New Roman" w:hAnsi="Times New Roman"/>
          <w:i/>
          <w:szCs w:val="28"/>
          <w:lang w:val="es-ES"/>
        </w:rPr>
        <w:t>.</w:t>
      </w:r>
    </w:p>
    <w:p w:rsidR="00C15127" w:rsidRPr="00C15127" w:rsidRDefault="00C15127" w:rsidP="00C15127">
      <w:pPr>
        <w:pStyle w:val="BodyTextIndent2"/>
        <w:spacing w:before="120"/>
        <w:ind w:firstLine="0"/>
        <w:rPr>
          <w:rFonts w:ascii="Times New Roman" w:hAnsi="Times New Roman"/>
          <w:b/>
          <w:szCs w:val="28"/>
          <w:lang w:val="es-ES"/>
        </w:rPr>
      </w:pPr>
      <w:r w:rsidRPr="00C15127">
        <w:rPr>
          <w:rFonts w:ascii="Times New Roman" w:hAnsi="Times New Roman"/>
          <w:b/>
          <w:szCs w:val="28"/>
          <w:lang w:val="es-ES"/>
        </w:rPr>
        <w:t xml:space="preserve">Điều 1. Sửa đổi, bổ sung </w:t>
      </w:r>
      <w:bookmarkStart w:id="0" w:name="dc_1"/>
      <w:r w:rsidRPr="00C15127">
        <w:rPr>
          <w:rFonts w:ascii="Times New Roman" w:hAnsi="Times New Roman"/>
          <w:b/>
          <w:szCs w:val="28"/>
          <w:lang w:val="es-ES"/>
        </w:rPr>
        <w:t>Điều 2</w:t>
      </w:r>
      <w:bookmarkEnd w:id="0"/>
      <w:r w:rsidRPr="00C15127">
        <w:rPr>
          <w:rFonts w:ascii="Times New Roman" w:hAnsi="Times New Roman"/>
          <w:b/>
          <w:szCs w:val="28"/>
          <w:lang w:val="es-ES"/>
        </w:rPr>
        <w:t xml:space="preserve"> </w:t>
      </w:r>
      <w:r w:rsidRPr="00C15127">
        <w:rPr>
          <w:rFonts w:ascii="Times New Roman" w:hAnsi="Times New Roman"/>
          <w:b/>
          <w:szCs w:val="28"/>
          <w:lang w:val="en-US"/>
        </w:rPr>
        <w:t>như sau:</w:t>
      </w:r>
    </w:p>
    <w:p w:rsidR="00C15127" w:rsidRPr="00C15127" w:rsidRDefault="00C15127" w:rsidP="00C15127">
      <w:pPr>
        <w:pStyle w:val="BodyTextIndent2"/>
        <w:spacing w:before="120"/>
        <w:ind w:firstLine="0"/>
        <w:jc w:val="left"/>
        <w:rPr>
          <w:rFonts w:ascii="Times New Roman" w:hAnsi="Times New Roman"/>
          <w:szCs w:val="28"/>
          <w:lang w:val="es-ES"/>
        </w:rPr>
      </w:pPr>
      <w:r w:rsidRPr="00C15127">
        <w:rPr>
          <w:rFonts w:ascii="Times New Roman" w:hAnsi="Times New Roman"/>
          <w:szCs w:val="28"/>
          <w:lang w:val="es-ES"/>
        </w:rPr>
        <w:t>1. Thay thế các phụ lục ban hành kèm theo Thông tư số 39/2018/TT-BYT bằng các phụ lục ban hành kèm theo Thông tư này:</w:t>
      </w:r>
    </w:p>
    <w:p w:rsidR="00C15127" w:rsidRPr="00C15127" w:rsidRDefault="00C15127" w:rsidP="00C15127">
      <w:pPr>
        <w:pStyle w:val="BodyTextIndent2"/>
        <w:spacing w:before="120"/>
        <w:ind w:firstLine="0"/>
        <w:jc w:val="left"/>
        <w:rPr>
          <w:rFonts w:ascii="Times New Roman" w:hAnsi="Times New Roman"/>
          <w:szCs w:val="28"/>
          <w:lang w:val="es-ES"/>
        </w:rPr>
      </w:pPr>
      <w:r w:rsidRPr="00C15127">
        <w:rPr>
          <w:rFonts w:ascii="Times New Roman" w:hAnsi="Times New Roman"/>
          <w:szCs w:val="28"/>
          <w:lang w:val="es-ES"/>
        </w:rPr>
        <w:t>a) Mức giá dịch vụ khám bệnh quy định tại Phụ lục I ban hành kèm theo Thông tư này;</w:t>
      </w:r>
    </w:p>
    <w:p w:rsidR="00C15127" w:rsidRPr="00C15127" w:rsidRDefault="00C15127" w:rsidP="00C15127">
      <w:pPr>
        <w:pStyle w:val="BodyTextIndent2"/>
        <w:spacing w:before="120"/>
        <w:ind w:firstLine="0"/>
        <w:jc w:val="left"/>
        <w:rPr>
          <w:rFonts w:ascii="Times New Roman" w:hAnsi="Times New Roman"/>
          <w:szCs w:val="28"/>
          <w:lang w:val="es-ES"/>
        </w:rPr>
      </w:pPr>
      <w:r w:rsidRPr="00C15127">
        <w:rPr>
          <w:rFonts w:ascii="Times New Roman" w:hAnsi="Times New Roman"/>
          <w:szCs w:val="28"/>
          <w:lang w:val="es-ES"/>
        </w:rPr>
        <w:t>b) Mức giá dịch vụ ngày giường điều trị quy định tại Phụ lục II ban hành kèm theo Thông tư này;</w:t>
      </w:r>
    </w:p>
    <w:p w:rsidR="00C15127" w:rsidRPr="00C15127" w:rsidRDefault="00C15127" w:rsidP="00C15127">
      <w:pPr>
        <w:pStyle w:val="BodyTextIndent2"/>
        <w:spacing w:before="120"/>
        <w:ind w:firstLine="0"/>
        <w:jc w:val="left"/>
        <w:rPr>
          <w:rFonts w:ascii="Times New Roman" w:hAnsi="Times New Roman"/>
          <w:szCs w:val="28"/>
          <w:lang w:val="es-ES"/>
        </w:rPr>
      </w:pPr>
      <w:r w:rsidRPr="00C15127">
        <w:rPr>
          <w:rFonts w:ascii="Times New Roman" w:hAnsi="Times New Roman"/>
          <w:szCs w:val="28"/>
          <w:lang w:val="es-ES"/>
        </w:rPr>
        <w:t>c) Mức giá dịch vụ kỹ thuật, xét nghiệm quy định tại Phụ lục III ban hành kèm theo Thông tư này;</w:t>
      </w:r>
    </w:p>
    <w:p w:rsidR="00C15127" w:rsidRPr="00C15127" w:rsidRDefault="00C15127" w:rsidP="00C15127">
      <w:pPr>
        <w:pStyle w:val="BodyTextIndent2"/>
        <w:spacing w:before="120"/>
        <w:ind w:firstLine="0"/>
        <w:jc w:val="left"/>
        <w:rPr>
          <w:rFonts w:ascii="Times New Roman" w:hAnsi="Times New Roman"/>
          <w:szCs w:val="28"/>
          <w:lang w:val="es-ES"/>
        </w:rPr>
      </w:pPr>
      <w:r w:rsidRPr="00C15127">
        <w:rPr>
          <w:rFonts w:ascii="Times New Roman" w:hAnsi="Times New Roman"/>
          <w:szCs w:val="28"/>
          <w:lang w:val="es-ES"/>
        </w:rPr>
        <w:t xml:space="preserve">2. Điều chỉnh ghi chú của các mục: mục 61 về phẫu thuật nội soi sửa van hai lá; mục 62 về phẫu thuật nội soi thay van hai lá; mục 63 về phẫu thuật nội soi đóng lỗ thông liên nhĩ và bổ sung ghi chú một số dịch vụ tại mục 64, 65, 66 của Phụ </w:t>
      </w:r>
      <w:bookmarkStart w:id="1" w:name="_GoBack"/>
      <w:bookmarkEnd w:id="1"/>
      <w:r w:rsidRPr="00C15127">
        <w:rPr>
          <w:rFonts w:ascii="Times New Roman" w:hAnsi="Times New Roman"/>
          <w:szCs w:val="28"/>
          <w:lang w:val="es-ES"/>
        </w:rPr>
        <w:t>lục IV ban hành kèm theo Thông tư này.</w:t>
      </w:r>
    </w:p>
    <w:p w:rsidR="00C15127" w:rsidRPr="00C15127" w:rsidRDefault="00C15127" w:rsidP="00C15127">
      <w:pPr>
        <w:pStyle w:val="BodyTextIndent2"/>
        <w:spacing w:before="120"/>
        <w:ind w:firstLine="0"/>
        <w:jc w:val="left"/>
        <w:rPr>
          <w:rFonts w:ascii="Times New Roman" w:hAnsi="Times New Roman"/>
          <w:b/>
          <w:szCs w:val="28"/>
          <w:lang w:val="vi-VN"/>
        </w:rPr>
      </w:pPr>
      <w:r w:rsidRPr="00C15127">
        <w:rPr>
          <w:rFonts w:ascii="Times New Roman" w:hAnsi="Times New Roman"/>
          <w:b/>
          <w:szCs w:val="28"/>
          <w:lang w:val="es-ES"/>
        </w:rPr>
        <w:t xml:space="preserve">Điều </w:t>
      </w:r>
      <w:r w:rsidRPr="00C15127">
        <w:rPr>
          <w:rFonts w:ascii="Times New Roman" w:hAnsi="Times New Roman"/>
          <w:b/>
          <w:szCs w:val="28"/>
          <w:lang w:val="vi-VN"/>
        </w:rPr>
        <w:t>2</w:t>
      </w:r>
      <w:r w:rsidRPr="00C15127">
        <w:rPr>
          <w:rFonts w:ascii="Times New Roman" w:hAnsi="Times New Roman"/>
          <w:b/>
          <w:szCs w:val="28"/>
          <w:lang w:val="es-ES"/>
        </w:rPr>
        <w:t xml:space="preserve">. Sửa đổi </w:t>
      </w:r>
      <w:bookmarkStart w:id="2" w:name="dc_2"/>
      <w:r w:rsidRPr="00C15127">
        <w:rPr>
          <w:rFonts w:ascii="Times New Roman" w:hAnsi="Times New Roman"/>
          <w:b/>
          <w:szCs w:val="28"/>
          <w:lang w:val="es-ES"/>
        </w:rPr>
        <w:t>điểm a khoản 4 Điều 3</w:t>
      </w:r>
      <w:bookmarkEnd w:id="2"/>
      <w:r w:rsidRPr="00C15127">
        <w:rPr>
          <w:rFonts w:ascii="Times New Roman" w:hAnsi="Times New Roman"/>
          <w:b/>
          <w:szCs w:val="28"/>
          <w:lang w:val="en-US"/>
        </w:rPr>
        <w:t xml:space="preserve"> </w:t>
      </w:r>
      <w:r w:rsidRPr="00C15127">
        <w:rPr>
          <w:rFonts w:ascii="Times New Roman" w:hAnsi="Times New Roman"/>
          <w:b/>
          <w:szCs w:val="28"/>
          <w:lang w:val="vi-VN"/>
        </w:rPr>
        <w:t>như sau:</w:t>
      </w:r>
    </w:p>
    <w:p w:rsidR="00C15127" w:rsidRPr="00C15127" w:rsidRDefault="00C15127" w:rsidP="00C15127">
      <w:pPr>
        <w:pStyle w:val="BodyTextIndent2"/>
        <w:spacing w:before="120"/>
        <w:ind w:firstLine="0"/>
        <w:jc w:val="left"/>
        <w:rPr>
          <w:rFonts w:ascii="Times New Roman" w:hAnsi="Times New Roman"/>
          <w:szCs w:val="28"/>
          <w:lang w:val="en-US"/>
        </w:rPr>
      </w:pPr>
      <w:r w:rsidRPr="00C15127">
        <w:rPr>
          <w:rFonts w:ascii="Times New Roman" w:hAnsi="Times New Roman"/>
          <w:szCs w:val="28"/>
          <w:lang w:val="vi-VN"/>
        </w:rPr>
        <w:t>“</w:t>
      </w:r>
      <w:r w:rsidRPr="00C15127">
        <w:rPr>
          <w:rFonts w:ascii="Times New Roman" w:hAnsi="Times New Roman"/>
          <w:szCs w:val="28"/>
          <w:lang w:val="en-US"/>
        </w:rPr>
        <w:t xml:space="preserve">a) </w:t>
      </w:r>
      <w:r w:rsidRPr="00C15127">
        <w:rPr>
          <w:rFonts w:ascii="Times New Roman" w:hAnsi="Times New Roman"/>
          <w:szCs w:val="28"/>
          <w:lang w:val="es-ES"/>
        </w:rPr>
        <w:t xml:space="preserve">Tiền lương ngạch bậc, chức vụ, các khoản phụ cấp, các khoản đóng góp theo chế độ do Nhà nước quy định đối </w:t>
      </w:r>
      <w:r w:rsidRPr="00C15127">
        <w:rPr>
          <w:rFonts w:ascii="Times New Roman" w:hAnsi="Times New Roman"/>
          <w:szCs w:val="28"/>
          <w:lang w:val="en-US"/>
        </w:rPr>
        <w:t>với đơn vị sự nghiệp công lập và mức lương cơ sở quy định tại Nghị định số 38/2019/NĐ-CP ngày 09 tháng 5 năm 2019 của Chính phủ quy định mức lương cơ sở đối với cán bộ, công chức, viên chức và lực lượng vũ trang”;</w:t>
      </w:r>
    </w:p>
    <w:p w:rsidR="00C15127" w:rsidRPr="00C15127" w:rsidRDefault="00C15127" w:rsidP="00C15127">
      <w:pPr>
        <w:pStyle w:val="BodyTextIndent2"/>
        <w:spacing w:before="120"/>
        <w:ind w:firstLine="0"/>
        <w:jc w:val="left"/>
        <w:rPr>
          <w:rFonts w:ascii="Times New Roman" w:hAnsi="Times New Roman"/>
          <w:b/>
          <w:szCs w:val="28"/>
          <w:lang w:val="vi-VN"/>
        </w:rPr>
      </w:pPr>
      <w:r w:rsidRPr="00C15127">
        <w:rPr>
          <w:rFonts w:ascii="Times New Roman" w:hAnsi="Times New Roman"/>
          <w:b/>
          <w:szCs w:val="28"/>
          <w:lang w:val="es-ES"/>
        </w:rPr>
        <w:t xml:space="preserve">Điều </w:t>
      </w:r>
      <w:r w:rsidRPr="00C15127">
        <w:rPr>
          <w:rFonts w:ascii="Times New Roman" w:hAnsi="Times New Roman"/>
          <w:b/>
          <w:szCs w:val="28"/>
          <w:lang w:val="en-US"/>
        </w:rPr>
        <w:t>3</w:t>
      </w:r>
      <w:r w:rsidRPr="00C15127">
        <w:rPr>
          <w:rFonts w:ascii="Times New Roman" w:hAnsi="Times New Roman"/>
          <w:b/>
          <w:szCs w:val="28"/>
          <w:lang w:val="es-ES"/>
        </w:rPr>
        <w:t xml:space="preserve">. Sửa đổi, bổ sung </w:t>
      </w:r>
      <w:bookmarkStart w:id="3" w:name="dc_3"/>
      <w:r w:rsidRPr="00C15127">
        <w:rPr>
          <w:rFonts w:ascii="Times New Roman" w:hAnsi="Times New Roman"/>
          <w:b/>
          <w:szCs w:val="28"/>
          <w:lang w:val="vi-VN"/>
        </w:rPr>
        <w:t>Điều 6</w:t>
      </w:r>
      <w:bookmarkEnd w:id="3"/>
      <w:r w:rsidRPr="00C15127">
        <w:rPr>
          <w:rFonts w:ascii="Times New Roman" w:hAnsi="Times New Roman"/>
          <w:b/>
          <w:szCs w:val="28"/>
          <w:lang w:val="en-US"/>
        </w:rPr>
        <w:t xml:space="preserve"> </w:t>
      </w:r>
      <w:r w:rsidRPr="00C15127">
        <w:rPr>
          <w:rFonts w:ascii="Times New Roman" w:hAnsi="Times New Roman"/>
          <w:b/>
          <w:szCs w:val="28"/>
          <w:lang w:val="vi-VN"/>
        </w:rPr>
        <w:t>như sau:</w:t>
      </w:r>
    </w:p>
    <w:p w:rsidR="00C15127" w:rsidRPr="00C15127" w:rsidRDefault="00C15127" w:rsidP="00C15127">
      <w:pPr>
        <w:pStyle w:val="BodyTextIndent2"/>
        <w:spacing w:before="120"/>
        <w:ind w:firstLine="0"/>
        <w:jc w:val="left"/>
        <w:rPr>
          <w:rFonts w:ascii="Times New Roman" w:hAnsi="Times New Roman"/>
          <w:szCs w:val="28"/>
          <w:lang w:val="en-US"/>
        </w:rPr>
      </w:pPr>
      <w:r w:rsidRPr="00C15127">
        <w:rPr>
          <w:rFonts w:ascii="Times New Roman" w:hAnsi="Times New Roman"/>
          <w:szCs w:val="28"/>
          <w:lang w:val="en-US"/>
        </w:rPr>
        <w:lastRenderedPageBreak/>
        <w:t xml:space="preserve">1. Sửa đổi </w:t>
      </w:r>
      <w:bookmarkStart w:id="4" w:name="dc_4"/>
      <w:r w:rsidRPr="00C15127">
        <w:rPr>
          <w:rFonts w:ascii="Times New Roman" w:hAnsi="Times New Roman"/>
          <w:szCs w:val="28"/>
          <w:lang w:val="en-US"/>
        </w:rPr>
        <w:t>điểm b khoản 5</w:t>
      </w:r>
      <w:bookmarkEnd w:id="4"/>
      <w:r w:rsidRPr="00C15127">
        <w:rPr>
          <w:rFonts w:ascii="Times New Roman" w:hAnsi="Times New Roman"/>
          <w:szCs w:val="28"/>
          <w:lang w:val="en-US"/>
        </w:rPr>
        <w:t xml:space="preserve"> như sau:</w:t>
      </w:r>
    </w:p>
    <w:p w:rsidR="00C15127" w:rsidRPr="00C15127" w:rsidRDefault="00C15127" w:rsidP="00C15127">
      <w:pPr>
        <w:pStyle w:val="BodyTextIndent2"/>
        <w:spacing w:before="120"/>
        <w:ind w:firstLine="0"/>
        <w:jc w:val="left"/>
        <w:rPr>
          <w:rFonts w:ascii="Times New Roman" w:hAnsi="Times New Roman"/>
          <w:szCs w:val="28"/>
          <w:lang w:val="vi-VN"/>
        </w:rPr>
      </w:pPr>
      <w:r w:rsidRPr="00C15127">
        <w:rPr>
          <w:rFonts w:ascii="Times New Roman" w:hAnsi="Times New Roman"/>
          <w:szCs w:val="28"/>
          <w:lang w:val="en-US"/>
        </w:rPr>
        <w:t>“</w:t>
      </w:r>
      <w:bookmarkStart w:id="5" w:name="_Hlk14678473"/>
      <w:r w:rsidRPr="00C15127">
        <w:rPr>
          <w:rFonts w:ascii="Times New Roman" w:hAnsi="Times New Roman"/>
          <w:szCs w:val="28"/>
          <w:lang w:val="en-US"/>
        </w:rPr>
        <w:t xml:space="preserve">b) </w:t>
      </w:r>
      <w:r w:rsidRPr="00C15127">
        <w:rPr>
          <w:rFonts w:ascii="Times New Roman" w:hAnsi="Times New Roman"/>
          <w:szCs w:val="28"/>
          <w:lang w:val="vi-VN"/>
        </w:rPr>
        <w:t>Trường hợp trong khoa Cấp cứu hoặc khoa Gây mê hồi sức có một số giường được sử dụng để điều trị tích cực</w:t>
      </w:r>
      <w:r w:rsidRPr="00C15127">
        <w:rPr>
          <w:rFonts w:ascii="Times New Roman" w:hAnsi="Times New Roman"/>
          <w:szCs w:val="28"/>
        </w:rPr>
        <w:t>;</w:t>
      </w:r>
      <w:r w:rsidRPr="00C15127">
        <w:rPr>
          <w:rFonts w:ascii="Times New Roman" w:hAnsi="Times New Roman"/>
          <w:szCs w:val="28"/>
          <w:lang w:val="vi-VN"/>
        </w:rPr>
        <w:t xml:space="preserve"> giường bệnh sau hậu phẫu của các phẫu thuật loại đặc biệt và</w:t>
      </w:r>
      <w:r w:rsidRPr="00C15127">
        <w:rPr>
          <w:rFonts w:ascii="Times New Roman" w:hAnsi="Times New Roman"/>
          <w:szCs w:val="28"/>
        </w:rPr>
        <w:t xml:space="preserve"> </w:t>
      </w:r>
      <w:r w:rsidRPr="00C15127">
        <w:rPr>
          <w:rFonts w:ascii="Times New Roman" w:hAnsi="Times New Roman"/>
          <w:szCs w:val="28"/>
          <w:lang w:val="vi-VN"/>
        </w:rPr>
        <w:t xml:space="preserve">các giường bệnh này đáp ứng được yêu cầu </w:t>
      </w:r>
      <w:r w:rsidRPr="00C15127">
        <w:rPr>
          <w:rFonts w:ascii="Times New Roman" w:hAnsi="Times New Roman"/>
          <w:szCs w:val="28"/>
          <w:lang w:val="en-US"/>
        </w:rPr>
        <w:t>của</w:t>
      </w:r>
      <w:r w:rsidRPr="00C15127">
        <w:rPr>
          <w:rFonts w:ascii="Times New Roman" w:hAnsi="Times New Roman"/>
          <w:szCs w:val="28"/>
          <w:lang w:val="vi-VN"/>
        </w:rPr>
        <w:t xml:space="preserve"> giường hồi sức tích cực quy định tại Quy chế Cấp cứu, Hồi sức tích cực và Chống độc</w:t>
      </w:r>
      <w:r w:rsidRPr="00C15127">
        <w:rPr>
          <w:rFonts w:ascii="Times New Roman" w:hAnsi="Times New Roman"/>
          <w:szCs w:val="28"/>
          <w:lang w:val="en-US"/>
        </w:rPr>
        <w:t xml:space="preserve"> ban hành kèm theo </w:t>
      </w:r>
      <w:r w:rsidRPr="00C15127">
        <w:rPr>
          <w:rFonts w:ascii="Times New Roman" w:hAnsi="Times New Roman"/>
          <w:szCs w:val="28"/>
          <w:lang w:val="vi-VN"/>
        </w:rPr>
        <w:t>Quyết định số 01/2008/QĐ-BYT</w:t>
      </w:r>
      <w:r w:rsidRPr="00C15127">
        <w:rPr>
          <w:rFonts w:ascii="Times New Roman" w:hAnsi="Times New Roman"/>
          <w:szCs w:val="28"/>
          <w:lang w:val="en-US"/>
        </w:rPr>
        <w:t xml:space="preserve"> </w:t>
      </w:r>
      <w:r w:rsidRPr="00C15127">
        <w:rPr>
          <w:rFonts w:ascii="Times New Roman" w:hAnsi="Times New Roman"/>
          <w:szCs w:val="28"/>
          <w:lang w:val="vi-VN"/>
        </w:rPr>
        <w:t xml:space="preserve">ngày 21 tháng 01 năm 2008 </w:t>
      </w:r>
      <w:r w:rsidRPr="00C15127">
        <w:rPr>
          <w:rFonts w:ascii="Times New Roman" w:hAnsi="Times New Roman"/>
          <w:szCs w:val="28"/>
          <w:lang w:val="en-US"/>
        </w:rPr>
        <w:t>của Bộ trưởng Bộ Y tế</w:t>
      </w:r>
      <w:bookmarkEnd w:id="5"/>
      <w:r w:rsidRPr="00C15127">
        <w:rPr>
          <w:rFonts w:ascii="Times New Roman" w:hAnsi="Times New Roman"/>
          <w:szCs w:val="28"/>
          <w:lang w:val="en-US"/>
        </w:rPr>
        <w:t>."</w:t>
      </w:r>
      <w:r w:rsidRPr="00C15127">
        <w:rPr>
          <w:rFonts w:ascii="Times New Roman" w:hAnsi="Times New Roman"/>
          <w:szCs w:val="28"/>
          <w:lang w:val="vi-VN"/>
        </w:rPr>
        <w:t>.</w:t>
      </w:r>
    </w:p>
    <w:p w:rsidR="00C15127" w:rsidRPr="00C15127" w:rsidRDefault="00C15127" w:rsidP="00C15127">
      <w:pPr>
        <w:pStyle w:val="BodyTextIndent2"/>
        <w:spacing w:before="120"/>
        <w:ind w:firstLine="0"/>
        <w:jc w:val="left"/>
        <w:rPr>
          <w:rFonts w:ascii="Times New Roman" w:hAnsi="Times New Roman"/>
          <w:szCs w:val="28"/>
          <w:lang w:val="en-US"/>
        </w:rPr>
      </w:pPr>
      <w:r w:rsidRPr="00C15127">
        <w:rPr>
          <w:rFonts w:ascii="Times New Roman" w:hAnsi="Times New Roman"/>
          <w:szCs w:val="28"/>
          <w:lang w:val="en-US"/>
        </w:rPr>
        <w:t xml:space="preserve">2. </w:t>
      </w:r>
      <w:r w:rsidRPr="00C15127">
        <w:rPr>
          <w:rFonts w:ascii="Times New Roman" w:hAnsi="Times New Roman"/>
          <w:szCs w:val="28"/>
          <w:lang w:val="vi-VN"/>
        </w:rPr>
        <w:t xml:space="preserve">Bổ sung </w:t>
      </w:r>
      <w:r w:rsidRPr="00C15127">
        <w:rPr>
          <w:rFonts w:ascii="Times New Roman" w:hAnsi="Times New Roman"/>
          <w:szCs w:val="28"/>
          <w:lang w:val="en-US"/>
        </w:rPr>
        <w:t xml:space="preserve">khoản 17 như sau: </w:t>
      </w:r>
    </w:p>
    <w:p w:rsidR="00C15127" w:rsidRPr="00C15127" w:rsidRDefault="00C15127" w:rsidP="00C15127">
      <w:pPr>
        <w:pStyle w:val="BodyTextIndent2"/>
        <w:spacing w:before="120"/>
        <w:ind w:firstLine="0"/>
        <w:jc w:val="left"/>
        <w:rPr>
          <w:rFonts w:ascii="Times New Roman" w:hAnsi="Times New Roman"/>
          <w:szCs w:val="28"/>
          <w:lang w:val="en-US"/>
        </w:rPr>
      </w:pPr>
      <w:r w:rsidRPr="00C15127">
        <w:rPr>
          <w:rFonts w:ascii="Times New Roman" w:hAnsi="Times New Roman"/>
          <w:szCs w:val="28"/>
          <w:lang w:val="en-US"/>
        </w:rPr>
        <w:t>"17. Ngày giường bệnh ngoại khoa sau thực hiện “</w:t>
      </w:r>
      <w:r w:rsidRPr="00C15127">
        <w:rPr>
          <w:rFonts w:ascii="Times New Roman" w:hAnsi="Times New Roman"/>
          <w:szCs w:val="28"/>
          <w:lang w:val="vi-VN"/>
        </w:rPr>
        <w:t>Phẫu thuật đục thủy tinh thể bằng phương pháp Phaco</w:t>
      </w:r>
      <w:r w:rsidRPr="00C15127">
        <w:rPr>
          <w:rFonts w:ascii="Times New Roman" w:hAnsi="Times New Roman"/>
          <w:szCs w:val="28"/>
          <w:lang w:val="en-US"/>
        </w:rPr>
        <w:t>”</w:t>
      </w:r>
      <w:r w:rsidRPr="00C15127">
        <w:rPr>
          <w:rFonts w:ascii="Times New Roman" w:hAnsi="Times New Roman"/>
          <w:szCs w:val="28"/>
          <w:lang w:val="vi-VN"/>
        </w:rPr>
        <w:t xml:space="preserve"> áp dụng mức giá </w:t>
      </w:r>
      <w:r w:rsidRPr="00C15127">
        <w:rPr>
          <w:rFonts w:ascii="Times New Roman" w:hAnsi="Times New Roman"/>
          <w:szCs w:val="28"/>
          <w:lang w:val="en-US"/>
        </w:rPr>
        <w:t>“</w:t>
      </w:r>
      <w:r w:rsidRPr="00C15127">
        <w:rPr>
          <w:rFonts w:ascii="Times New Roman" w:hAnsi="Times New Roman"/>
          <w:szCs w:val="28"/>
          <w:lang w:val="vi-VN"/>
        </w:rPr>
        <w:t>Ngày giường bệnh ngoại khoa, bỏng</w:t>
      </w:r>
      <w:r w:rsidRPr="00C15127">
        <w:rPr>
          <w:rFonts w:ascii="Times New Roman" w:hAnsi="Times New Roman"/>
          <w:szCs w:val="28"/>
          <w:lang w:val="en-US"/>
        </w:rPr>
        <w:t>”</w:t>
      </w:r>
      <w:r w:rsidRPr="00C15127">
        <w:rPr>
          <w:rFonts w:ascii="Times New Roman" w:hAnsi="Times New Roman"/>
          <w:szCs w:val="28"/>
          <w:lang w:val="vi-VN"/>
        </w:rPr>
        <w:t xml:space="preserve"> </w:t>
      </w:r>
      <w:r w:rsidRPr="00C15127">
        <w:rPr>
          <w:rFonts w:ascii="Times New Roman" w:hAnsi="Times New Roman"/>
          <w:szCs w:val="28"/>
          <w:lang w:val="en-US"/>
        </w:rPr>
        <w:t>của l</w:t>
      </w:r>
      <w:r w:rsidRPr="00C15127">
        <w:rPr>
          <w:rFonts w:ascii="Times New Roman" w:hAnsi="Times New Roman"/>
          <w:szCs w:val="28"/>
          <w:lang w:val="vi-VN"/>
        </w:rPr>
        <w:t>oại 3 tương ứng theo hạng bệnh viện</w:t>
      </w:r>
      <w:r w:rsidRPr="00C15127">
        <w:rPr>
          <w:rFonts w:ascii="Times New Roman" w:hAnsi="Times New Roman"/>
          <w:szCs w:val="28"/>
          <w:lang w:val="en-US"/>
        </w:rPr>
        <w:t xml:space="preserve"> của </w:t>
      </w:r>
      <w:bookmarkStart w:id="6" w:name="_Hlk14678508"/>
      <w:r w:rsidRPr="00C15127">
        <w:rPr>
          <w:rFonts w:ascii="Times New Roman" w:hAnsi="Times New Roman"/>
          <w:szCs w:val="28"/>
          <w:lang w:val="en-US"/>
        </w:rPr>
        <w:t>Phụ lục II ban hành kèm theo Thông tư này</w:t>
      </w:r>
      <w:bookmarkEnd w:id="6"/>
      <w:r w:rsidRPr="00C15127">
        <w:rPr>
          <w:rFonts w:ascii="Times New Roman" w:hAnsi="Times New Roman"/>
          <w:szCs w:val="28"/>
          <w:lang w:val="en-US"/>
        </w:rPr>
        <w:t>."</w:t>
      </w:r>
    </w:p>
    <w:p w:rsidR="00C15127" w:rsidRPr="00C15127" w:rsidRDefault="00C15127" w:rsidP="00C15127">
      <w:pPr>
        <w:spacing w:before="120"/>
        <w:rPr>
          <w:rFonts w:ascii="Times New Roman" w:hAnsi="Times New Roman"/>
          <w:b/>
          <w:bCs/>
          <w:szCs w:val="28"/>
          <w:lang w:val="pt-BR"/>
        </w:rPr>
      </w:pPr>
      <w:r w:rsidRPr="00C15127">
        <w:rPr>
          <w:rFonts w:ascii="Times New Roman" w:hAnsi="Times New Roman"/>
          <w:b/>
          <w:bCs/>
          <w:szCs w:val="28"/>
          <w:lang w:val="pt-BR"/>
        </w:rPr>
        <w:t xml:space="preserve">Điều </w:t>
      </w:r>
      <w:r w:rsidRPr="00C15127">
        <w:rPr>
          <w:rFonts w:ascii="Times New Roman" w:hAnsi="Times New Roman"/>
          <w:b/>
          <w:bCs/>
          <w:szCs w:val="28"/>
          <w:lang w:val="vi-VN"/>
        </w:rPr>
        <w:t>4</w:t>
      </w:r>
      <w:r w:rsidRPr="00C15127">
        <w:rPr>
          <w:rFonts w:ascii="Times New Roman" w:hAnsi="Times New Roman"/>
          <w:b/>
          <w:bCs/>
          <w:szCs w:val="28"/>
          <w:lang w:val="pt-BR"/>
        </w:rPr>
        <w:t>. Điều khoản thi hành</w:t>
      </w:r>
    </w:p>
    <w:p w:rsidR="00C15127" w:rsidRPr="00C15127" w:rsidRDefault="00C15127" w:rsidP="00C15127">
      <w:pPr>
        <w:spacing w:before="120"/>
        <w:rPr>
          <w:rFonts w:ascii="Times New Roman" w:hAnsi="Times New Roman"/>
          <w:b/>
          <w:bCs/>
          <w:szCs w:val="28"/>
          <w:lang w:val="pt-BR"/>
        </w:rPr>
      </w:pPr>
      <w:r w:rsidRPr="00C15127">
        <w:rPr>
          <w:rFonts w:ascii="Times New Roman" w:hAnsi="Times New Roman"/>
          <w:szCs w:val="28"/>
          <w:lang w:val="pt-BR"/>
        </w:rPr>
        <w:t xml:space="preserve">Thông tư này có hiệu lực thi hành từ ngày </w:t>
      </w:r>
      <w:r w:rsidRPr="00C15127">
        <w:rPr>
          <w:rFonts w:ascii="Times New Roman" w:hAnsi="Times New Roman"/>
          <w:szCs w:val="28"/>
        </w:rPr>
        <w:t>20</w:t>
      </w:r>
      <w:r w:rsidRPr="00C15127">
        <w:rPr>
          <w:rFonts w:ascii="Times New Roman" w:hAnsi="Times New Roman"/>
          <w:szCs w:val="28"/>
          <w:lang w:val="pt-BR"/>
        </w:rPr>
        <w:t xml:space="preserve"> tháng </w:t>
      </w:r>
      <w:r w:rsidRPr="00C15127">
        <w:rPr>
          <w:rFonts w:ascii="Times New Roman" w:hAnsi="Times New Roman"/>
          <w:szCs w:val="28"/>
        </w:rPr>
        <w:t>8</w:t>
      </w:r>
      <w:r w:rsidRPr="00C15127">
        <w:rPr>
          <w:rFonts w:ascii="Times New Roman" w:hAnsi="Times New Roman"/>
          <w:szCs w:val="28"/>
          <w:lang w:val="pt-BR"/>
        </w:rPr>
        <w:t xml:space="preserve"> năm 2019. </w:t>
      </w:r>
    </w:p>
    <w:p w:rsidR="00C15127" w:rsidRPr="00C15127" w:rsidRDefault="00C15127" w:rsidP="00C15127">
      <w:pPr>
        <w:spacing w:before="120"/>
        <w:rPr>
          <w:rFonts w:ascii="Times New Roman" w:hAnsi="Times New Roman"/>
          <w:b/>
          <w:bCs/>
          <w:szCs w:val="28"/>
          <w:lang w:val="pt-BR"/>
        </w:rPr>
      </w:pPr>
      <w:r w:rsidRPr="00C15127">
        <w:rPr>
          <w:rFonts w:ascii="Times New Roman" w:hAnsi="Times New Roman"/>
          <w:b/>
          <w:bCs/>
          <w:szCs w:val="28"/>
          <w:lang w:val="pt-BR"/>
        </w:rPr>
        <w:t xml:space="preserve">Điều </w:t>
      </w:r>
      <w:r w:rsidRPr="00C15127">
        <w:rPr>
          <w:rFonts w:ascii="Times New Roman" w:hAnsi="Times New Roman"/>
          <w:b/>
          <w:bCs/>
          <w:szCs w:val="28"/>
        </w:rPr>
        <w:t>5</w:t>
      </w:r>
      <w:r w:rsidRPr="00C15127">
        <w:rPr>
          <w:rFonts w:ascii="Times New Roman" w:hAnsi="Times New Roman"/>
          <w:b/>
          <w:bCs/>
          <w:szCs w:val="28"/>
          <w:lang w:val="pt-BR"/>
        </w:rPr>
        <w:t>. Điều khoản chuyển tiếp</w:t>
      </w:r>
    </w:p>
    <w:p w:rsidR="00C15127" w:rsidRPr="00C15127" w:rsidRDefault="00C15127" w:rsidP="00C15127">
      <w:pPr>
        <w:spacing w:before="120"/>
        <w:rPr>
          <w:rFonts w:ascii="Times New Roman" w:hAnsi="Times New Roman"/>
          <w:szCs w:val="28"/>
          <w:lang w:val="pt-BR"/>
        </w:rPr>
      </w:pPr>
      <w:r w:rsidRPr="00C15127">
        <w:rPr>
          <w:rFonts w:ascii="Times New Roman" w:hAnsi="Times New Roman"/>
          <w:szCs w:val="28"/>
          <w:lang w:val="pt-BR"/>
        </w:rPr>
        <w:t xml:space="preserve">1. Tiếp tục áp dụng danh mục các dịch vụ kỹ thuật khám bệnh, chữa bệnh được xếp tương đương về quy trình kỹ thuật và chi phí đã quy định tại Quyết định số 7435/QĐ-BYT ngày 14 tháng 12 năm 2018 của Bộ trưởng Bộ Y tế về việc </w:t>
      </w:r>
      <w:r w:rsidRPr="00C15127">
        <w:rPr>
          <w:rFonts w:ascii="Times New Roman" w:hAnsi="Times New Roman"/>
          <w:color w:val="000000"/>
          <w:szCs w:val="28"/>
          <w:shd w:val="clear" w:color="auto" w:fill="FFFFFF"/>
        </w:rPr>
        <w:t>ban hành Danh mục các dịch vụ kỹ thuật khám bệnh, chữa bệnh được xếp tương đương về quy trình kỹ thuật và chi phí thực hiện theo Thông tư số 39/2018/TT-BYT</w:t>
      </w:r>
      <w:r w:rsidRPr="00C15127">
        <w:rPr>
          <w:rFonts w:ascii="Times New Roman" w:hAnsi="Times New Roman"/>
          <w:szCs w:val="28"/>
          <w:lang w:val="pt-BR"/>
        </w:rPr>
        <w:t>.</w:t>
      </w:r>
    </w:p>
    <w:p w:rsidR="00C15127" w:rsidRPr="00C15127" w:rsidRDefault="00C15127" w:rsidP="00C15127">
      <w:pPr>
        <w:spacing w:before="120"/>
        <w:rPr>
          <w:rFonts w:ascii="Times New Roman" w:hAnsi="Times New Roman"/>
          <w:szCs w:val="28"/>
          <w:lang w:val="pt-BR"/>
        </w:rPr>
      </w:pPr>
      <w:bookmarkStart w:id="7" w:name="_Hlk14678603"/>
      <w:r w:rsidRPr="00C15127">
        <w:rPr>
          <w:rFonts w:ascii="Times New Roman" w:hAnsi="Times New Roman"/>
          <w:szCs w:val="28"/>
        </w:rPr>
        <w:t>2</w:t>
      </w:r>
      <w:r w:rsidRPr="00C15127">
        <w:rPr>
          <w:rFonts w:ascii="Times New Roman" w:hAnsi="Times New Roman"/>
          <w:szCs w:val="28"/>
          <w:lang w:val="vi-VN"/>
        </w:rPr>
        <w:t xml:space="preserve">. </w:t>
      </w:r>
      <w:r w:rsidRPr="00C15127">
        <w:rPr>
          <w:rFonts w:ascii="Times New Roman" w:hAnsi="Times New Roman"/>
          <w:szCs w:val="28"/>
          <w:lang w:val="pt-BR"/>
        </w:rPr>
        <w:t>Người bệnh đang điều trị tại cơ sở khám bệnh, chữa bệnh trước thời điểm thực hiện mức giá theo quy định tại Thông tư này và ra viện hoặc kết thúc đợt điều trị ngoại trú sau thời điểm thực hiện mức giá quy định tại Thông tư này tiếp tục áp dụng mức giá đã được cấp có thẩm quyền đã phê duyệt trước thời điểm thực hiện mức giá theo quy định tại Thông tư này cho đến khi ra viện hoặc kết thúc đợt điều trị ngoại trú.</w:t>
      </w:r>
      <w:bookmarkEnd w:id="7"/>
      <w:r w:rsidRPr="00C15127">
        <w:rPr>
          <w:rFonts w:ascii="Times New Roman" w:hAnsi="Times New Roman"/>
          <w:szCs w:val="28"/>
          <w:lang w:val="pt-BR"/>
        </w:rPr>
        <w:t xml:space="preserve"> </w:t>
      </w:r>
    </w:p>
    <w:p w:rsidR="00C15127" w:rsidRPr="00C15127" w:rsidRDefault="00C15127" w:rsidP="00C15127">
      <w:pPr>
        <w:pStyle w:val="BodyTextIndent2"/>
        <w:spacing w:before="120"/>
        <w:ind w:firstLine="0"/>
        <w:jc w:val="left"/>
        <w:rPr>
          <w:rFonts w:ascii="Times New Roman" w:hAnsi="Times New Roman"/>
          <w:b/>
          <w:szCs w:val="28"/>
          <w:lang w:val="es-ES"/>
        </w:rPr>
      </w:pPr>
      <w:r w:rsidRPr="00C15127">
        <w:rPr>
          <w:rFonts w:ascii="Times New Roman" w:hAnsi="Times New Roman"/>
          <w:b/>
          <w:szCs w:val="28"/>
          <w:lang w:val="es-ES"/>
        </w:rPr>
        <w:t>Điều 6. Điều khoản tham chiếu</w:t>
      </w:r>
    </w:p>
    <w:p w:rsidR="00C15127" w:rsidRPr="00C15127" w:rsidRDefault="00C15127" w:rsidP="00C15127">
      <w:pPr>
        <w:spacing w:before="120"/>
        <w:rPr>
          <w:rFonts w:ascii="Times New Roman" w:hAnsi="Times New Roman"/>
          <w:szCs w:val="28"/>
        </w:rPr>
      </w:pPr>
      <w:r w:rsidRPr="00C15127">
        <w:rPr>
          <w:rFonts w:ascii="Times New Roman" w:hAnsi="Times New Roman"/>
          <w:szCs w:val="28"/>
        </w:rPr>
        <w:t>Trong trường hợp các văn bản quy phạm pháp luật và các quy định được viện dẫn trong Thông tư này có thay đổi, bổ sung hoặc được thay thế thì áp dụng theo văn bản quy phạm pháp luật mới.</w:t>
      </w:r>
    </w:p>
    <w:p w:rsidR="00C15127" w:rsidRPr="00C15127" w:rsidRDefault="00C15127" w:rsidP="00C15127">
      <w:pPr>
        <w:spacing w:before="120"/>
        <w:rPr>
          <w:rFonts w:ascii="Times New Roman" w:hAnsi="Times New Roman"/>
          <w:szCs w:val="28"/>
          <w:lang w:val="pt-BR"/>
        </w:rPr>
      </w:pPr>
      <w:r w:rsidRPr="00C15127">
        <w:rPr>
          <w:rFonts w:ascii="Times New Roman" w:hAnsi="Times New Roman"/>
          <w:szCs w:val="28"/>
          <w:lang w:val="vi-VN"/>
        </w:rPr>
        <w:t>Trong quá trình thực hiện</w:t>
      </w:r>
      <w:r w:rsidRPr="00C15127">
        <w:rPr>
          <w:rFonts w:ascii="Times New Roman" w:hAnsi="Times New Roman"/>
          <w:szCs w:val="28"/>
        </w:rPr>
        <w:t>,</w:t>
      </w:r>
      <w:r w:rsidRPr="00C15127">
        <w:rPr>
          <w:rFonts w:ascii="Times New Roman" w:hAnsi="Times New Roman"/>
          <w:szCs w:val="28"/>
          <w:lang w:val="vi-VN"/>
        </w:rPr>
        <w:t xml:space="preserve"> nếu có </w:t>
      </w:r>
      <w:r w:rsidRPr="00C15127">
        <w:rPr>
          <w:rFonts w:ascii="Times New Roman" w:hAnsi="Times New Roman"/>
          <w:szCs w:val="28"/>
          <w:lang w:val="pt-BR"/>
        </w:rPr>
        <w:t xml:space="preserve">khó khăn, </w:t>
      </w:r>
      <w:r w:rsidRPr="00C15127">
        <w:rPr>
          <w:rFonts w:ascii="Times New Roman" w:hAnsi="Times New Roman"/>
          <w:szCs w:val="28"/>
          <w:lang w:val="vi-VN"/>
        </w:rPr>
        <w:t xml:space="preserve">vướng mắc đề nghị </w:t>
      </w:r>
      <w:r w:rsidRPr="00C15127">
        <w:rPr>
          <w:rFonts w:ascii="Times New Roman" w:hAnsi="Times New Roman"/>
          <w:szCs w:val="28"/>
          <w:lang w:val="pt-BR"/>
        </w:rPr>
        <w:t>các cơ quan, tổ chức, cá nhân phản ánh về Bộ Y tế để xem xét, giải quyết</w:t>
      </w:r>
      <w:r w:rsidRPr="00C15127">
        <w:rPr>
          <w:rFonts w:ascii="Times New Roman" w:hAnsi="Times New Roman"/>
          <w:szCs w:val="28"/>
          <w:lang w:val="vi-VN"/>
        </w:rPr>
        <w:t>.</w:t>
      </w:r>
      <w:r w:rsidRPr="00C15127">
        <w:rPr>
          <w:rFonts w:ascii="Times New Roman" w:hAnsi="Times New Roman"/>
          <w:szCs w:val="28"/>
          <w:lang w:val="pt-BR"/>
        </w:rPr>
        <w:t>/.</w:t>
      </w:r>
    </w:p>
    <w:p w:rsidR="00C15127" w:rsidRPr="00C15127" w:rsidRDefault="00C15127" w:rsidP="00C15127">
      <w:pPr>
        <w:spacing w:before="120"/>
        <w:rPr>
          <w:rFonts w:ascii="Times New Roman" w:hAnsi="Times New Roman"/>
          <w:szCs w:val="28"/>
          <w:lang w:val="pt-BR"/>
        </w:rPr>
      </w:pPr>
    </w:p>
    <w:tbl>
      <w:tblPr>
        <w:tblW w:w="5000" w:type="pct"/>
        <w:tblLook w:val="04A0" w:firstRow="1" w:lastRow="0" w:firstColumn="1" w:lastColumn="0" w:noHBand="0" w:noVBand="1"/>
      </w:tblPr>
      <w:tblGrid>
        <w:gridCol w:w="5047"/>
        <w:gridCol w:w="4024"/>
      </w:tblGrid>
      <w:tr w:rsidR="00C15127" w:rsidRPr="00C15127" w:rsidTr="003664FA">
        <w:tc>
          <w:tcPr>
            <w:tcW w:w="2782" w:type="pct"/>
          </w:tcPr>
          <w:p w:rsidR="00C15127" w:rsidRPr="00C15127" w:rsidRDefault="00C15127" w:rsidP="003664FA">
            <w:pPr>
              <w:tabs>
                <w:tab w:val="left" w:pos="5137"/>
              </w:tabs>
              <w:spacing w:before="120"/>
              <w:rPr>
                <w:rFonts w:ascii="Times New Roman" w:hAnsi="Times New Roman"/>
                <w:b/>
                <w:bCs/>
                <w:i/>
                <w:iCs/>
                <w:szCs w:val="28"/>
              </w:rPr>
            </w:pPr>
          </w:p>
          <w:p w:rsidR="00C15127" w:rsidRPr="00C15127" w:rsidRDefault="00C15127" w:rsidP="003664FA">
            <w:pPr>
              <w:tabs>
                <w:tab w:val="left" w:pos="5137"/>
              </w:tabs>
              <w:spacing w:before="120"/>
              <w:rPr>
                <w:rFonts w:ascii="Times New Roman" w:hAnsi="Times New Roman"/>
                <w:szCs w:val="28"/>
                <w:lang w:val="vi-VN"/>
              </w:rPr>
            </w:pPr>
            <w:r w:rsidRPr="00C15127">
              <w:rPr>
                <w:rFonts w:ascii="Times New Roman" w:hAnsi="Times New Roman"/>
                <w:b/>
                <w:bCs/>
                <w:i/>
                <w:iCs/>
                <w:szCs w:val="28"/>
                <w:lang w:val="vi-VN"/>
              </w:rPr>
              <w:t>Nơi nhận:</w:t>
            </w:r>
            <w:r w:rsidRPr="00C15127">
              <w:rPr>
                <w:rFonts w:ascii="Times New Roman" w:hAnsi="Times New Roman"/>
                <w:b/>
                <w:bCs/>
                <w:i/>
                <w:iCs/>
                <w:szCs w:val="28"/>
                <w:lang w:val="vi-VN"/>
              </w:rPr>
              <w:br/>
            </w:r>
            <w:r w:rsidRPr="00C15127">
              <w:rPr>
                <w:rFonts w:ascii="Times New Roman" w:hAnsi="Times New Roman"/>
                <w:color w:val="000000"/>
                <w:szCs w:val="28"/>
                <w:shd w:val="clear" w:color="auto" w:fill="FFFFFF"/>
                <w:lang w:val="vi-VN"/>
              </w:rPr>
              <w:t>- Ủy ban về các vấn đề xã hội của Quốc hội (để giám sát);</w:t>
            </w:r>
            <w:r w:rsidRPr="00C15127">
              <w:rPr>
                <w:rFonts w:ascii="Times New Roman" w:hAnsi="Times New Roman"/>
                <w:color w:val="000000"/>
                <w:szCs w:val="28"/>
                <w:shd w:val="clear" w:color="auto" w:fill="FFFFFF"/>
                <w:lang w:val="vi-VN"/>
              </w:rPr>
              <w:br/>
              <w:t xml:space="preserve">- Văn phòng Chính phủ (Công báo; Cổng </w:t>
            </w:r>
            <w:r w:rsidRPr="00C15127">
              <w:rPr>
                <w:rFonts w:ascii="Times New Roman" w:hAnsi="Times New Roman"/>
                <w:color w:val="000000"/>
                <w:szCs w:val="28"/>
                <w:shd w:val="clear" w:color="auto" w:fill="FFFFFF"/>
              </w:rPr>
              <w:t>TTĐT</w:t>
            </w:r>
            <w:r w:rsidRPr="00C15127">
              <w:rPr>
                <w:rFonts w:ascii="Times New Roman" w:hAnsi="Times New Roman"/>
                <w:color w:val="000000"/>
                <w:szCs w:val="28"/>
                <w:shd w:val="clear" w:color="auto" w:fill="FFFFFF"/>
                <w:lang w:val="vi-VN"/>
              </w:rPr>
              <w:t xml:space="preserve"> Chính phủ);</w:t>
            </w:r>
            <w:r w:rsidRPr="00C15127">
              <w:rPr>
                <w:rFonts w:ascii="Times New Roman" w:hAnsi="Times New Roman"/>
                <w:color w:val="000000"/>
                <w:szCs w:val="28"/>
                <w:shd w:val="clear" w:color="auto" w:fill="FFFFFF"/>
                <w:lang w:val="vi-VN"/>
              </w:rPr>
              <w:br/>
              <w:t>- Bộ, cơ quan ngang bộ, cơ quan thuộc Chính phủ;</w:t>
            </w:r>
            <w:r w:rsidRPr="00C15127">
              <w:rPr>
                <w:rFonts w:ascii="Times New Roman" w:hAnsi="Times New Roman"/>
                <w:color w:val="000000"/>
                <w:szCs w:val="28"/>
                <w:shd w:val="clear" w:color="auto" w:fill="FFFFFF"/>
                <w:lang w:val="vi-VN"/>
              </w:rPr>
              <w:br/>
              <w:t>- Bộ Tư pháp (Cục Kiểm tra VBQPPL);</w:t>
            </w:r>
            <w:r w:rsidRPr="00C15127">
              <w:rPr>
                <w:rFonts w:ascii="Times New Roman" w:hAnsi="Times New Roman"/>
                <w:color w:val="000000"/>
                <w:szCs w:val="28"/>
                <w:shd w:val="clear" w:color="auto" w:fill="FFFFFF"/>
                <w:lang w:val="vi-VN"/>
              </w:rPr>
              <w:br/>
              <w:t>- Bộ tr</w:t>
            </w:r>
            <w:r w:rsidRPr="00C15127">
              <w:rPr>
                <w:rFonts w:ascii="Times New Roman" w:hAnsi="Times New Roman"/>
                <w:color w:val="000000"/>
                <w:szCs w:val="28"/>
                <w:shd w:val="clear" w:color="auto" w:fill="FFFFFF"/>
              </w:rPr>
              <w:t>ưở</w:t>
            </w:r>
            <w:r w:rsidRPr="00C15127">
              <w:rPr>
                <w:rFonts w:ascii="Times New Roman" w:hAnsi="Times New Roman"/>
                <w:color w:val="000000"/>
                <w:szCs w:val="28"/>
                <w:shd w:val="clear" w:color="auto" w:fill="FFFFFF"/>
                <w:lang w:val="vi-VN"/>
              </w:rPr>
              <w:t>ng (để b/c);</w:t>
            </w:r>
            <w:r w:rsidRPr="00C15127">
              <w:rPr>
                <w:rFonts w:ascii="Times New Roman" w:hAnsi="Times New Roman"/>
                <w:color w:val="000000"/>
                <w:szCs w:val="28"/>
                <w:shd w:val="clear" w:color="auto" w:fill="FFFFFF"/>
                <w:lang w:val="vi-VN"/>
              </w:rPr>
              <w:br/>
              <w:t>- Các Thứ trưởng Bộ Y tế (để chỉ đạo thực hiện);</w:t>
            </w:r>
            <w:r w:rsidRPr="00C15127">
              <w:rPr>
                <w:rFonts w:ascii="Times New Roman" w:hAnsi="Times New Roman"/>
                <w:color w:val="000000"/>
                <w:szCs w:val="28"/>
                <w:shd w:val="clear" w:color="auto" w:fill="FFFFFF"/>
                <w:lang w:val="vi-VN"/>
              </w:rPr>
              <w:br/>
              <w:t>- UBND tỉnh, thành phố trực thuộc TW;</w:t>
            </w:r>
            <w:r w:rsidRPr="00C15127">
              <w:rPr>
                <w:rFonts w:ascii="Times New Roman" w:hAnsi="Times New Roman"/>
                <w:color w:val="000000"/>
                <w:szCs w:val="28"/>
                <w:shd w:val="clear" w:color="auto" w:fill="FFFFFF"/>
                <w:lang w:val="vi-VN"/>
              </w:rPr>
              <w:br/>
              <w:t>- Sở Y tế tỉnh, thành phố trực thuộc TW;</w:t>
            </w:r>
            <w:r w:rsidRPr="00C15127">
              <w:rPr>
                <w:rFonts w:ascii="Times New Roman" w:hAnsi="Times New Roman"/>
                <w:color w:val="000000"/>
                <w:szCs w:val="28"/>
                <w:shd w:val="clear" w:color="auto" w:fill="FFFFFF"/>
                <w:lang w:val="vi-VN"/>
              </w:rPr>
              <w:br/>
              <w:t>- Đơn vị trực thuộc Bộ;</w:t>
            </w:r>
            <w:r w:rsidRPr="00C15127">
              <w:rPr>
                <w:rFonts w:ascii="Times New Roman" w:hAnsi="Times New Roman"/>
                <w:color w:val="000000"/>
                <w:szCs w:val="28"/>
                <w:shd w:val="clear" w:color="auto" w:fill="FFFFFF"/>
                <w:lang w:val="vi-VN"/>
              </w:rPr>
              <w:br/>
              <w:t>- Các Vụ, Cục, Tổng cục, Văn phòng Bộ, Thanh tra Bộ;</w:t>
            </w:r>
            <w:r w:rsidRPr="00C15127">
              <w:rPr>
                <w:rFonts w:ascii="Times New Roman" w:hAnsi="Times New Roman"/>
                <w:color w:val="000000"/>
                <w:szCs w:val="28"/>
                <w:shd w:val="clear" w:color="auto" w:fill="FFFFFF"/>
                <w:lang w:val="vi-VN"/>
              </w:rPr>
              <w:br/>
              <w:t>- Cổng thông tin điện tử Bộ Y tế;</w:t>
            </w:r>
            <w:r w:rsidRPr="00C15127">
              <w:rPr>
                <w:rFonts w:ascii="Times New Roman" w:hAnsi="Times New Roman"/>
                <w:color w:val="000000"/>
                <w:szCs w:val="28"/>
                <w:shd w:val="clear" w:color="auto" w:fill="FFFFFF"/>
                <w:lang w:val="vi-VN"/>
              </w:rPr>
              <w:br/>
            </w:r>
            <w:r w:rsidRPr="00C15127">
              <w:rPr>
                <w:rFonts w:ascii="Times New Roman" w:hAnsi="Times New Roman"/>
                <w:szCs w:val="28"/>
                <w:lang w:val="vi-VN"/>
              </w:rPr>
              <w:t>- Lưu: VT, KHTC(02)</w:t>
            </w:r>
            <w:r w:rsidRPr="00C15127">
              <w:rPr>
                <w:rFonts w:ascii="Times New Roman" w:hAnsi="Times New Roman"/>
                <w:szCs w:val="28"/>
              </w:rPr>
              <w:t xml:space="preserve">, </w:t>
            </w:r>
            <w:r w:rsidRPr="00C15127">
              <w:rPr>
                <w:rFonts w:ascii="Times New Roman" w:hAnsi="Times New Roman"/>
                <w:szCs w:val="28"/>
                <w:lang w:val="vi-VN"/>
              </w:rPr>
              <w:t>PC(02).</w:t>
            </w:r>
          </w:p>
        </w:tc>
        <w:tc>
          <w:tcPr>
            <w:tcW w:w="2218" w:type="pct"/>
          </w:tcPr>
          <w:p w:rsidR="00C15127" w:rsidRPr="00C15127" w:rsidRDefault="00C15127" w:rsidP="003664FA">
            <w:pPr>
              <w:spacing w:before="120"/>
              <w:jc w:val="center"/>
              <w:rPr>
                <w:rFonts w:ascii="Times New Roman" w:hAnsi="Times New Roman"/>
                <w:b/>
                <w:szCs w:val="28"/>
                <w:lang w:val="es-ES"/>
              </w:rPr>
            </w:pPr>
            <w:r w:rsidRPr="00C15127">
              <w:rPr>
                <w:rFonts w:ascii="Times New Roman" w:hAnsi="Times New Roman"/>
                <w:b/>
                <w:szCs w:val="28"/>
                <w:lang w:val="es-ES"/>
              </w:rPr>
              <w:t>KT. BỘ TRƯỞNG</w:t>
            </w:r>
            <w:r w:rsidRPr="00C15127">
              <w:rPr>
                <w:rFonts w:ascii="Times New Roman" w:hAnsi="Times New Roman"/>
                <w:b/>
                <w:szCs w:val="28"/>
                <w:lang w:val="es-ES"/>
              </w:rPr>
              <w:br/>
              <w:t>THỨ TRƯỞNG</w:t>
            </w:r>
            <w:r w:rsidRPr="00C15127">
              <w:rPr>
                <w:rFonts w:ascii="Times New Roman" w:hAnsi="Times New Roman"/>
                <w:b/>
                <w:szCs w:val="28"/>
                <w:lang w:val="es-ES"/>
              </w:rPr>
              <w:br/>
            </w:r>
            <w:r w:rsidRPr="00C15127">
              <w:rPr>
                <w:rFonts w:ascii="Times New Roman" w:hAnsi="Times New Roman"/>
                <w:b/>
                <w:szCs w:val="28"/>
                <w:lang w:val="es-ES"/>
              </w:rPr>
              <w:br/>
            </w:r>
            <w:r w:rsidRPr="00C15127">
              <w:rPr>
                <w:rFonts w:ascii="Times New Roman" w:hAnsi="Times New Roman"/>
                <w:b/>
                <w:szCs w:val="28"/>
                <w:lang w:val="es-ES"/>
              </w:rPr>
              <w:br/>
            </w:r>
            <w:r w:rsidRPr="00C15127">
              <w:rPr>
                <w:rFonts w:ascii="Times New Roman" w:hAnsi="Times New Roman"/>
                <w:b/>
                <w:szCs w:val="28"/>
                <w:lang w:val="es-ES"/>
              </w:rPr>
              <w:br/>
            </w:r>
            <w:r w:rsidRPr="00C15127">
              <w:rPr>
                <w:rFonts w:ascii="Times New Roman" w:hAnsi="Times New Roman"/>
                <w:b/>
                <w:szCs w:val="28"/>
                <w:lang w:val="es-ES"/>
              </w:rPr>
              <w:br/>
              <w:t>Nguyễn Trường Sơn</w:t>
            </w:r>
          </w:p>
        </w:tc>
      </w:tr>
    </w:tbl>
    <w:p w:rsidR="00C15127" w:rsidRPr="00C15127" w:rsidRDefault="00C15127" w:rsidP="00C15127">
      <w:pPr>
        <w:spacing w:before="120"/>
        <w:rPr>
          <w:rFonts w:ascii="Times New Roman" w:hAnsi="Times New Roman"/>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C15127" w:rsidRPr="00C15127" w:rsidTr="003664FA">
        <w:trPr>
          <w:jc w:val="center"/>
        </w:trPr>
        <w:tc>
          <w:tcPr>
            <w:tcW w:w="5868" w:type="dxa"/>
          </w:tcPr>
          <w:p w:rsidR="00C15127" w:rsidRPr="00C15127" w:rsidRDefault="00C15127" w:rsidP="003664FA">
            <w:pPr>
              <w:spacing w:before="120"/>
              <w:jc w:val="center"/>
              <w:rPr>
                <w:rFonts w:ascii="Times New Roman" w:hAnsi="Times New Roman"/>
                <w:b/>
                <w:color w:val="FF0000"/>
                <w:szCs w:val="28"/>
                <w:lang w:val="nb-NO"/>
              </w:rPr>
            </w:pPr>
          </w:p>
          <w:p w:rsidR="00C15127" w:rsidRPr="00C15127" w:rsidRDefault="00C15127" w:rsidP="003664FA">
            <w:pPr>
              <w:spacing w:before="120"/>
              <w:jc w:val="center"/>
              <w:rPr>
                <w:rFonts w:ascii="Times New Roman" w:hAnsi="Times New Roman"/>
                <w:b/>
                <w:color w:val="FF0000"/>
                <w:szCs w:val="28"/>
                <w:lang w:val="nb-NO"/>
              </w:rPr>
            </w:pPr>
            <w:r w:rsidRPr="00C15127">
              <w:rPr>
                <w:rFonts w:ascii="Times New Roman" w:hAnsi="Times New Roman"/>
                <w:b/>
                <w:color w:val="FF0000"/>
                <w:szCs w:val="28"/>
                <w:lang w:val="nb-NO"/>
              </w:rPr>
              <w:t>FILE ĐƯỢC ĐÍNH KÈM THEO VĂN BẢN</w:t>
            </w:r>
          </w:p>
          <w:bookmarkStart w:id="8" w:name="_MON_1626877876"/>
          <w:bookmarkEnd w:id="8"/>
          <w:p w:rsidR="00C15127" w:rsidRPr="00C15127" w:rsidRDefault="00C15127" w:rsidP="003664FA">
            <w:pPr>
              <w:spacing w:before="120"/>
              <w:jc w:val="center"/>
              <w:rPr>
                <w:rFonts w:ascii="Times New Roman" w:hAnsi="Times New Roman"/>
                <w:b/>
                <w:color w:val="FF0000"/>
                <w:szCs w:val="28"/>
                <w:lang w:val="nb-NO"/>
              </w:rPr>
            </w:pPr>
            <w:r w:rsidRPr="00C15127">
              <w:rPr>
                <w:rFonts w:ascii="Times New Roman" w:hAnsi="Times New Roman"/>
                <w:b/>
                <w:color w:val="FF0000"/>
                <w:szCs w:val="28"/>
                <w:lang w:val="nb-NO"/>
              </w:rPr>
              <w:object w:dxaOrig="1515"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6" o:title=""/>
                </v:shape>
                <o:OLEObject Type="Embed" ProgID="Excel.Sheet.8" ShapeID="_x0000_i1025" DrawAspect="Icon" ObjectID="_1627194701" r:id="rId7"/>
              </w:object>
            </w:r>
          </w:p>
        </w:tc>
      </w:tr>
    </w:tbl>
    <w:p w:rsidR="00C15127" w:rsidRPr="00C15127" w:rsidRDefault="00C15127" w:rsidP="00C15127">
      <w:pPr>
        <w:rPr>
          <w:rFonts w:ascii="Times New Roman" w:hAnsi="Times New Roman"/>
          <w:szCs w:val="28"/>
        </w:rPr>
      </w:pPr>
    </w:p>
    <w:p w:rsidR="00C15127" w:rsidRPr="00C15127" w:rsidRDefault="00C15127" w:rsidP="00C15127">
      <w:pPr>
        <w:rPr>
          <w:rFonts w:ascii="Times New Roman" w:hAnsi="Times New Roman"/>
          <w:szCs w:val="28"/>
        </w:rPr>
      </w:pPr>
    </w:p>
    <w:p w:rsidR="00101384" w:rsidRPr="00C15127" w:rsidRDefault="00101384">
      <w:pPr>
        <w:rPr>
          <w:rFonts w:ascii="Times New Roman" w:hAnsi="Times New Roman"/>
          <w:szCs w:val="28"/>
        </w:rPr>
      </w:pPr>
    </w:p>
    <w:sectPr w:rsidR="00101384" w:rsidRPr="00C15127" w:rsidSect="00E67488">
      <w:headerReference w:type="even" r:id="rId8"/>
      <w:footerReference w:type="even" r:id="rId9"/>
      <w:footerReference w:type="default" r:id="rId10"/>
      <w:pgSz w:w="11906" w:h="16838" w:code="1"/>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91" w:rsidRDefault="00466D91" w:rsidP="00C15127">
      <w:r>
        <w:separator/>
      </w:r>
    </w:p>
  </w:endnote>
  <w:endnote w:type="continuationSeparator" w:id="0">
    <w:p w:rsidR="00466D91" w:rsidRDefault="00466D91" w:rsidP="00C1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69" w:rsidRDefault="0046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33F69" w:rsidRDefault="00466D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27" w:rsidRDefault="00C15127" w:rsidP="00C15127"/>
  <w:p w:rsidR="00C15127" w:rsidRPr="00246135" w:rsidRDefault="00C15127" w:rsidP="00C15127">
    <w:pPr>
      <w:pStyle w:val="Header"/>
      <w:jc w:val="center"/>
      <w:rPr>
        <w:rFonts w:ascii="Times New Roman" w:hAnsi="Times New Roman"/>
        <w:b/>
        <w:color w:val="0070C0"/>
        <w:szCs w:val="28"/>
      </w:rPr>
    </w:pPr>
    <w:r w:rsidRPr="00246135">
      <w:rPr>
        <w:rFonts w:ascii="Times New Roman" w:hAnsi="Times New Roman"/>
        <w:b/>
        <w:color w:val="0070C0"/>
        <w:szCs w:val="28"/>
      </w:rPr>
      <w:t>Công ty Luật TNHH Sao Việt</w:t>
    </w:r>
  </w:p>
  <w:p w:rsidR="00C15127" w:rsidRPr="00246135" w:rsidRDefault="00C15127" w:rsidP="00C15127">
    <w:pPr>
      <w:pStyle w:val="Header"/>
      <w:jc w:val="center"/>
      <w:rPr>
        <w:rFonts w:ascii="Times New Roman" w:hAnsi="Times New Roman"/>
        <w:i/>
        <w:color w:val="0070C0"/>
        <w:szCs w:val="28"/>
      </w:rPr>
    </w:pPr>
    <w:r w:rsidRPr="00246135">
      <w:rPr>
        <w:rFonts w:ascii="Times New Roman" w:hAnsi="Times New Roman"/>
        <w:i/>
        <w:color w:val="0070C0"/>
        <w:szCs w:val="28"/>
      </w:rPr>
      <w:t>“Sự bảo hộ hoàn hảo trong mọi quan hệ pháp luật”</w:t>
    </w:r>
  </w:p>
  <w:p w:rsidR="00C15127" w:rsidRPr="00246135" w:rsidRDefault="00C15127" w:rsidP="00C15127">
    <w:pPr>
      <w:pStyle w:val="Header"/>
      <w:jc w:val="center"/>
      <w:rPr>
        <w:rFonts w:ascii="Times New Roman" w:hAnsi="Times New Roman"/>
        <w:color w:val="FF0000"/>
        <w:szCs w:val="28"/>
      </w:rPr>
    </w:pPr>
    <w:r w:rsidRPr="00246135">
      <w:rPr>
        <w:rFonts w:ascii="Times New Roman" w:hAnsi="Times New Roman"/>
        <w:color w:val="FF0000"/>
        <w:szCs w:val="28"/>
      </w:rPr>
      <w:t>Web: saovietlaw.com/ Tổng đài 1900 6243</w:t>
    </w:r>
  </w:p>
  <w:p w:rsidR="00C15127" w:rsidRPr="00246135" w:rsidRDefault="00C15127" w:rsidP="00C15127">
    <w:pPr>
      <w:jc w:val="center"/>
      <w:rPr>
        <w:rFonts w:ascii="Times New Roman" w:hAnsi="Times New Roman"/>
      </w:rPr>
    </w:pPr>
  </w:p>
  <w:p w:rsidR="00C15127" w:rsidRPr="00246135" w:rsidRDefault="00C15127" w:rsidP="00C15127">
    <w:pPr>
      <w:jc w:val="center"/>
      <w:rPr>
        <w:rFonts w:ascii="Times New Roman" w:hAnsi="Times New Roman"/>
      </w:rPr>
    </w:pPr>
  </w:p>
  <w:p w:rsidR="00C15127" w:rsidRPr="00246135" w:rsidRDefault="00C15127" w:rsidP="00C15127">
    <w:pPr>
      <w:jc w:val="center"/>
      <w:rPr>
        <w:rFonts w:ascii="Times New Roman" w:hAnsi="Times New Roman"/>
      </w:rPr>
    </w:pPr>
  </w:p>
  <w:p w:rsidR="00C15127" w:rsidRDefault="00C15127" w:rsidP="00C15127">
    <w:pPr>
      <w:jc w:val="center"/>
    </w:pPr>
  </w:p>
  <w:p w:rsidR="00C15127" w:rsidRDefault="00C1512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C15127" w:rsidRDefault="00C1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91" w:rsidRDefault="00466D91" w:rsidP="00C15127">
      <w:r>
        <w:separator/>
      </w:r>
    </w:p>
  </w:footnote>
  <w:footnote w:type="continuationSeparator" w:id="0">
    <w:p w:rsidR="00466D91" w:rsidRDefault="00466D91" w:rsidP="00C1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69" w:rsidRDefault="00466D91" w:rsidP="00233F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F69" w:rsidRDefault="00466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27"/>
    <w:rsid w:val="00101384"/>
    <w:rsid w:val="00466D91"/>
    <w:rsid w:val="00C1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C4B392-53ED-4D09-A3B9-64335F8D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2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512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15127"/>
    <w:rPr>
      <w:rFonts w:ascii=".VnTime" w:eastAsia="Times New Roman" w:hAnsi=".VnTime" w:cs="Times New Roman"/>
      <w:sz w:val="28"/>
      <w:szCs w:val="24"/>
      <w:lang w:val="x-none" w:eastAsia="x-none"/>
    </w:rPr>
  </w:style>
  <w:style w:type="character" w:styleId="PageNumber">
    <w:name w:val="page number"/>
    <w:basedOn w:val="DefaultParagraphFont"/>
    <w:rsid w:val="00C15127"/>
  </w:style>
  <w:style w:type="paragraph" w:styleId="BodyTextIndent2">
    <w:name w:val="Body Text Indent 2"/>
    <w:basedOn w:val="Normal"/>
    <w:link w:val="BodyTextIndent2Char"/>
    <w:rsid w:val="00C15127"/>
    <w:pPr>
      <w:ind w:firstLine="720"/>
      <w:jc w:val="both"/>
    </w:pPr>
    <w:rPr>
      <w:szCs w:val="20"/>
      <w:lang w:val="x-none" w:eastAsia="x-none"/>
    </w:rPr>
  </w:style>
  <w:style w:type="character" w:customStyle="1" w:styleId="BodyTextIndent2Char">
    <w:name w:val="Body Text Indent 2 Char"/>
    <w:basedOn w:val="DefaultParagraphFont"/>
    <w:link w:val="BodyTextIndent2"/>
    <w:rsid w:val="00C15127"/>
    <w:rPr>
      <w:rFonts w:ascii=".VnTime" w:eastAsia="Times New Roman" w:hAnsi=".VnTime" w:cs="Times New Roman"/>
      <w:sz w:val="28"/>
      <w:szCs w:val="20"/>
      <w:lang w:val="x-none" w:eastAsia="x-none"/>
    </w:rPr>
  </w:style>
  <w:style w:type="paragraph" w:styleId="Header">
    <w:name w:val="header"/>
    <w:basedOn w:val="Normal"/>
    <w:link w:val="HeaderChar"/>
    <w:uiPriority w:val="99"/>
    <w:rsid w:val="00C1512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15127"/>
    <w:rPr>
      <w:rFonts w:ascii=".VnTime" w:eastAsia="Times New Roman" w:hAnsi=".VnTime" w:cs="Times New Roman"/>
      <w:sz w:val="28"/>
      <w:szCs w:val="24"/>
      <w:lang w:val="x-none" w:eastAsia="x-none"/>
    </w:rPr>
  </w:style>
  <w:style w:type="paragraph" w:styleId="NormalWeb">
    <w:name w:val="Normal (Web)"/>
    <w:basedOn w:val="Normal"/>
    <w:rsid w:val="00C1512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Excel_97-2003_Worksheet1.xls"/><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2019-08-13T02:42:00Z</dcterms:created>
  <dcterms:modified xsi:type="dcterms:W3CDTF">2019-08-13T02:45:00Z</dcterms:modified>
</cp:coreProperties>
</file>